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C5" w:rsidRDefault="00194053" w:rsidP="00194053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9371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se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44" cy="6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0C5" w:rsidRDefault="00F260C5" w:rsidP="001940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APPLICATION FOR UTILITY SERVICE</w:t>
      </w:r>
    </w:p>
    <w:tbl>
      <w:tblPr>
        <w:tblW w:w="105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4519"/>
        <w:gridCol w:w="1237"/>
        <w:gridCol w:w="1350"/>
        <w:gridCol w:w="2965"/>
      </w:tblGrid>
      <w:tr w:rsidR="00F260C5" w:rsidTr="00D469E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 OFFICE USE ONLY </w:t>
            </w:r>
          </w:p>
        </w:tc>
      </w:tr>
      <w:tr w:rsidR="00F260C5" w:rsidTr="00D469E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9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Account # 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Closing Date/Beginning Lease Date: </w:t>
            </w:r>
          </w:p>
          <w:p w:rsidR="00F260C5" w:rsidRDefault="00F260C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(Documentation Required) </w:t>
            </w:r>
          </w:p>
        </w:tc>
      </w:tr>
      <w:tr w:rsidR="00627956" w:rsidTr="0062795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Deposit: </w:t>
            </w:r>
          </w:p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fees: </w:t>
            </w:r>
          </w:p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Amount: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 </w:t>
            </w:r>
          </w:p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Services: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  <w:r>
              <w:rPr>
                <w:sz w:val="22"/>
                <w:szCs w:val="22"/>
              </w:rPr>
              <w:t>Water, Sewer &amp; Trash</w:t>
            </w:r>
          </w:p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  <w:r>
              <w:rPr>
                <w:sz w:val="22"/>
                <w:szCs w:val="22"/>
              </w:rPr>
              <w:t>Water &amp; Sewer</w:t>
            </w:r>
          </w:p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  <w:r>
              <w:rPr>
                <w:sz w:val="22"/>
                <w:szCs w:val="22"/>
              </w:rPr>
              <w:t>Water Only</w:t>
            </w:r>
          </w:p>
          <w:p w:rsidR="00F260C5" w:rsidRDefault="00F260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  <w:r>
              <w:rPr>
                <w:sz w:val="22"/>
                <w:szCs w:val="22"/>
              </w:rPr>
              <w:t>Trash Only</w:t>
            </w:r>
          </w:p>
        </w:tc>
      </w:tr>
      <w:tr w:rsidR="00F260C5" w:rsidTr="00D469E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543" w:type="dxa"/>
            <w:gridSpan w:val="6"/>
          </w:tcPr>
          <w:p w:rsidR="00F260C5" w:rsidRDefault="00F260C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260C5" w:rsidRDefault="00F260C5" w:rsidP="00F260C5">
      <w:pPr>
        <w:pStyle w:val="Default"/>
        <w:rPr>
          <w:sz w:val="22"/>
          <w:szCs w:val="22"/>
        </w:rPr>
      </w:pPr>
    </w:p>
    <w:p w:rsidR="00194053" w:rsidRDefault="00F260C5" w:rsidP="00F260C5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Service Request (circle one): </w:t>
      </w:r>
      <w:r w:rsidR="00194053">
        <w:rPr>
          <w:sz w:val="28"/>
          <w:szCs w:val="28"/>
        </w:rPr>
        <w:tab/>
      </w:r>
      <w:r>
        <w:rPr>
          <w:sz w:val="28"/>
          <w:szCs w:val="28"/>
        </w:rPr>
        <w:t xml:space="preserve">START </w:t>
      </w:r>
      <w:r w:rsidR="00194053">
        <w:rPr>
          <w:sz w:val="28"/>
          <w:szCs w:val="28"/>
        </w:rPr>
        <w:tab/>
      </w:r>
      <w:r>
        <w:rPr>
          <w:sz w:val="28"/>
          <w:szCs w:val="28"/>
        </w:rPr>
        <w:t xml:space="preserve">TRANSFER </w:t>
      </w:r>
      <w:r w:rsidR="00194053">
        <w:rPr>
          <w:sz w:val="28"/>
          <w:szCs w:val="28"/>
        </w:rPr>
        <w:tab/>
      </w:r>
    </w:p>
    <w:p w:rsidR="00194053" w:rsidRDefault="00194053" w:rsidP="00F260C5">
      <w:pPr>
        <w:pStyle w:val="Default"/>
        <w:rPr>
          <w:sz w:val="28"/>
          <w:szCs w:val="28"/>
        </w:rPr>
      </w:pPr>
    </w:p>
    <w:p w:rsidR="00F260C5" w:rsidRDefault="00F260C5" w:rsidP="00F260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Applicant: </w:t>
      </w:r>
      <w:r w:rsidR="00194053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</w:t>
      </w:r>
      <w:r>
        <w:rPr>
          <w:sz w:val="23"/>
          <w:szCs w:val="23"/>
        </w:rPr>
        <w:t>Property Owner</w:t>
      </w:r>
      <w:r w:rsidR="00194053">
        <w:rPr>
          <w:sz w:val="23"/>
          <w:szCs w:val="23"/>
        </w:rPr>
        <w:tab/>
      </w:r>
      <w:r w:rsidR="00194053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</w:t>
      </w:r>
      <w:r>
        <w:rPr>
          <w:sz w:val="23"/>
          <w:szCs w:val="23"/>
        </w:rPr>
        <w:t>Tenant</w:t>
      </w:r>
      <w:r w:rsidR="00194053">
        <w:rPr>
          <w:sz w:val="23"/>
          <w:szCs w:val="23"/>
        </w:rPr>
        <w:tab/>
      </w:r>
      <w:r w:rsidR="00194053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</w:t>
      </w:r>
      <w:r>
        <w:rPr>
          <w:sz w:val="23"/>
          <w:szCs w:val="23"/>
        </w:rPr>
        <w:t>Management Company</w:t>
      </w:r>
    </w:p>
    <w:p w:rsidR="00D068E6" w:rsidRDefault="00D068E6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</w:pPr>
    </w:p>
    <w:p w:rsidR="00D068E6" w:rsidRDefault="00D068E6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Name: ____________________________________________________________________</w:t>
      </w:r>
      <w:r w:rsidR="00D469E7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 </w:t>
      </w:r>
    </w:p>
    <w:p w:rsidR="00D068E6" w:rsidRDefault="00D068E6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(Last, First, MI OR Business Name) </w:t>
      </w:r>
    </w:p>
    <w:p w:rsidR="00F260C5" w:rsidRDefault="00D068E6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C/O or Person of </w:t>
      </w:r>
      <w:r w:rsidR="002B1A28">
        <w:rPr>
          <w:sz w:val="22"/>
          <w:szCs w:val="22"/>
        </w:rPr>
        <w:t>Contact: _</w:t>
      </w:r>
      <w:r>
        <w:rPr>
          <w:sz w:val="22"/>
          <w:szCs w:val="22"/>
        </w:rPr>
        <w:t>__________________________________________________</w:t>
      </w:r>
      <w:r w:rsidR="00D469E7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</w:p>
    <w:p w:rsidR="00D068E6" w:rsidRDefault="00D068E6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</w:pPr>
    </w:p>
    <w:p w:rsidR="00F260C5" w:rsidRDefault="00D068E6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  <w:r>
        <w:t xml:space="preserve"> </w:t>
      </w:r>
      <w:r w:rsidR="007A1ECA">
        <w:rPr>
          <w:sz w:val="22"/>
          <w:szCs w:val="22"/>
        </w:rPr>
        <w:t>Driver’s License or ID</w:t>
      </w:r>
      <w:r>
        <w:rPr>
          <w:sz w:val="22"/>
          <w:szCs w:val="22"/>
        </w:rPr>
        <w:t>: _________________________________________</w:t>
      </w:r>
      <w:r w:rsidR="00D469E7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="007A1ECA">
        <w:rPr>
          <w:sz w:val="22"/>
          <w:szCs w:val="22"/>
        </w:rPr>
        <w:t xml:space="preserve"> (documentation required)</w:t>
      </w:r>
    </w:p>
    <w:p w:rsidR="00F260C5" w:rsidRDefault="00F260C5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*Previous Address: __________________________________ Date to Disconnect: __________</w:t>
      </w:r>
      <w:r w:rsidR="00D469E7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Service Address: _____________________________________ City, Zip code ____</w:t>
      </w:r>
      <w:r w:rsidR="00D469E7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="00D469E7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Mailing Address: _____________________________________ City, Zip code ______________</w:t>
      </w:r>
      <w:r w:rsidR="00D469E7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 </w:t>
      </w: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(If different than Service Address) </w:t>
      </w: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Telephone Number: ____________________________ Alternate Phone Number: _____</w:t>
      </w:r>
      <w:r w:rsidR="00D469E7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 </w:t>
      </w: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</w:p>
    <w:p w:rsidR="00194053" w:rsidRDefault="00194053" w:rsidP="00194053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Email Address: ____________________________________________________________________</w:t>
      </w:r>
      <w:r w:rsidR="00D469E7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</w:p>
    <w:p w:rsidR="00194053" w:rsidRDefault="00194053" w:rsidP="00F260C5">
      <w:pPr>
        <w:pStyle w:val="Default"/>
        <w:rPr>
          <w:sz w:val="22"/>
          <w:szCs w:val="22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In consideration for receiving water, sewer and/or trash service from the City of </w:t>
      </w:r>
      <w:r w:rsidR="00194053">
        <w:rPr>
          <w:sz w:val="18"/>
          <w:szCs w:val="18"/>
        </w:rPr>
        <w:t>Crystal City, Texas</w:t>
      </w:r>
      <w:r>
        <w:rPr>
          <w:sz w:val="18"/>
          <w:szCs w:val="18"/>
        </w:rPr>
        <w:t xml:space="preserve">, at the above location, I hereby acknowledge responsibility for payment of service billings. Accounts are billed on a monthly basis and payment by the indicated due date is required to prevent interruption of service. I am responsible for water/sewer and/or trash service until the account is closed. 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In consideration for having water service initiated/restored at the above address, I agree to ensure that all water service facilities (sink and tub faucets/inside and outside, toilets, etc.) are turned off; or that someone will be on the property to check for leakages. We recommend that you turn off your private cut off valve, if applicable. </w:t>
      </w:r>
      <w:r>
        <w:rPr>
          <w:b/>
          <w:bCs/>
          <w:sz w:val="18"/>
          <w:szCs w:val="18"/>
        </w:rPr>
        <w:t xml:space="preserve">Once the application is processed; it may take up to 2 working days to restore water service. </w:t>
      </w:r>
    </w:p>
    <w:p w:rsidR="002B1A28" w:rsidRDefault="002B1A2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 have read and agree to the terms and conditions. I further understand that applications will not be processed without appropriate identification, documentation and payment. </w:t>
      </w:r>
    </w:p>
    <w:p w:rsidR="002B1A28" w:rsidRDefault="002B1A28" w:rsidP="00F260C5">
      <w:pPr>
        <w:pStyle w:val="Default"/>
        <w:rPr>
          <w:sz w:val="22"/>
          <w:szCs w:val="22"/>
        </w:rPr>
      </w:pPr>
    </w:p>
    <w:p w:rsidR="002B1A28" w:rsidRDefault="002B1A28" w:rsidP="00F260C5">
      <w:pPr>
        <w:pStyle w:val="Default"/>
        <w:rPr>
          <w:sz w:val="22"/>
          <w:szCs w:val="22"/>
        </w:rPr>
      </w:pPr>
    </w:p>
    <w:p w:rsidR="00F260C5" w:rsidRDefault="00F260C5" w:rsidP="00F260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Signature: _______________________________________ Date: ___________________________</w:t>
      </w:r>
    </w:p>
    <w:p w:rsidR="00F260C5" w:rsidRDefault="00F260C5" w:rsidP="00F260C5">
      <w:pPr>
        <w:pStyle w:val="Default"/>
        <w:rPr>
          <w:sz w:val="22"/>
          <w:szCs w:val="22"/>
        </w:rPr>
      </w:pPr>
    </w:p>
    <w:p w:rsidR="00F260C5" w:rsidRDefault="00F260C5" w:rsidP="00F260C5">
      <w:pPr>
        <w:pStyle w:val="Default"/>
        <w:rPr>
          <w:sz w:val="22"/>
          <w:szCs w:val="22"/>
        </w:rPr>
      </w:pPr>
    </w:p>
    <w:p w:rsidR="002B1A28" w:rsidRDefault="00F260C5" w:rsidP="00D6793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Mailing Address: </w:t>
      </w:r>
      <w:r w:rsidR="002B1A28">
        <w:rPr>
          <w:sz w:val="22"/>
          <w:szCs w:val="22"/>
        </w:rPr>
        <w:t>101 E. Dimmit Street, Crystal City, Texas 78839</w:t>
      </w:r>
    </w:p>
    <w:p w:rsidR="00F260C5" w:rsidRDefault="00F260C5" w:rsidP="00D6793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="002B1A28">
        <w:rPr>
          <w:sz w:val="22"/>
          <w:szCs w:val="22"/>
        </w:rPr>
        <w:t>(830) 374-3477</w:t>
      </w:r>
      <w:r>
        <w:rPr>
          <w:sz w:val="22"/>
          <w:szCs w:val="22"/>
        </w:rPr>
        <w:t xml:space="preserve"> / Fax: </w:t>
      </w:r>
      <w:r w:rsidR="002B1A28">
        <w:rPr>
          <w:sz w:val="22"/>
          <w:szCs w:val="22"/>
        </w:rPr>
        <w:t>(830) 374-2123</w:t>
      </w:r>
    </w:p>
    <w:p w:rsidR="002B1A28" w:rsidRDefault="002B1A28" w:rsidP="00D67938">
      <w:pPr>
        <w:pStyle w:val="Default"/>
        <w:jc w:val="center"/>
        <w:rPr>
          <w:b/>
          <w:bCs/>
          <w:sz w:val="23"/>
          <w:szCs w:val="23"/>
        </w:rPr>
      </w:pPr>
    </w:p>
    <w:p w:rsidR="00D67938" w:rsidRDefault="00D67938" w:rsidP="00D67938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96770BC" wp14:editId="605CA008">
            <wp:extent cx="92075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25" cy="93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0C5" w:rsidRDefault="00F260C5" w:rsidP="00D6793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Terms &amp; Conditions</w:t>
      </w:r>
    </w:p>
    <w:p w:rsidR="00D67938" w:rsidRDefault="00D67938" w:rsidP="00D67938">
      <w:pPr>
        <w:pStyle w:val="Default"/>
        <w:jc w:val="center"/>
        <w:rPr>
          <w:sz w:val="23"/>
          <w:szCs w:val="23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These terms and conditions are provided for your benefit to communicate City of </w:t>
      </w:r>
      <w:r w:rsidR="00D67938">
        <w:rPr>
          <w:sz w:val="18"/>
          <w:szCs w:val="18"/>
        </w:rPr>
        <w:t xml:space="preserve">Crystal City </w:t>
      </w:r>
      <w:r>
        <w:rPr>
          <w:sz w:val="18"/>
          <w:szCs w:val="18"/>
        </w:rPr>
        <w:t xml:space="preserve">Utility Services policies regarding billing procedures, payment terms and fees. By requesting services, you agree to all of the conditions listed in this document. </w:t>
      </w:r>
    </w:p>
    <w:p w:rsidR="00D67938" w:rsidRDefault="00D67938" w:rsidP="00F260C5">
      <w:pPr>
        <w:pStyle w:val="Default"/>
        <w:rPr>
          <w:sz w:val="18"/>
          <w:szCs w:val="18"/>
        </w:rPr>
      </w:pPr>
    </w:p>
    <w:p w:rsidR="00D67938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Deposit: </w:t>
      </w:r>
      <w:r>
        <w:rPr>
          <w:sz w:val="18"/>
          <w:szCs w:val="18"/>
        </w:rPr>
        <w:t xml:space="preserve">City of </w:t>
      </w:r>
      <w:r w:rsidR="00D67938">
        <w:rPr>
          <w:sz w:val="18"/>
          <w:szCs w:val="18"/>
        </w:rPr>
        <w:t>Crystal City</w:t>
      </w:r>
      <w:r>
        <w:rPr>
          <w:sz w:val="18"/>
          <w:szCs w:val="18"/>
        </w:rPr>
        <w:t xml:space="preserve"> requires a deposit on </w:t>
      </w:r>
      <w:proofErr w:type="spellStart"/>
      <w:proofErr w:type="gramStart"/>
      <w:r>
        <w:rPr>
          <w:sz w:val="18"/>
          <w:szCs w:val="18"/>
        </w:rPr>
        <w:t>a</w:t>
      </w:r>
      <w:proofErr w:type="spellEnd"/>
      <w:proofErr w:type="gramEnd"/>
      <w:r>
        <w:rPr>
          <w:sz w:val="18"/>
          <w:szCs w:val="18"/>
        </w:rPr>
        <w:t xml:space="preserve"> </w:t>
      </w:r>
      <w:r w:rsidR="004C77A8">
        <w:rPr>
          <w:sz w:val="18"/>
          <w:szCs w:val="18"/>
        </w:rPr>
        <w:t>all</w:t>
      </w:r>
      <w:r>
        <w:rPr>
          <w:sz w:val="18"/>
          <w:szCs w:val="18"/>
        </w:rPr>
        <w:t xml:space="preserve"> accounts, including commercial accounts, depending on the service location meter size/type. Deposits range from </w:t>
      </w:r>
      <w:r w:rsidR="00627956">
        <w:rPr>
          <w:sz w:val="18"/>
          <w:szCs w:val="18"/>
        </w:rPr>
        <w:t>$150.00 - $300.00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When service is terminated, the deposit on the account will be applied towards any outstanding balance. If there is no balance due or a credit remains, a refund check will be mailed to the forwarding address provided after</w:t>
      </w:r>
      <w:r w:rsidR="00627956">
        <w:rPr>
          <w:sz w:val="18"/>
          <w:szCs w:val="18"/>
        </w:rPr>
        <w:t xml:space="preserve"> the final billing has occurred (final bill usually occurs within 3 to 4 weeks).</w:t>
      </w:r>
      <w:r>
        <w:rPr>
          <w:sz w:val="18"/>
          <w:szCs w:val="18"/>
        </w:rPr>
        <w:t xml:space="preserve">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Billing Cycle: </w:t>
      </w:r>
      <w:r>
        <w:rPr>
          <w:sz w:val="18"/>
          <w:szCs w:val="18"/>
        </w:rPr>
        <w:t>Bills are issued on a monthly basis. T</w:t>
      </w:r>
      <w:bookmarkStart w:id="0" w:name="_GoBack"/>
      <w:bookmarkEnd w:id="0"/>
      <w:r>
        <w:rPr>
          <w:sz w:val="18"/>
          <w:szCs w:val="18"/>
        </w:rPr>
        <w:t xml:space="preserve">he billing date is determined by your location within our service area. Due dates are not adjustable.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Payment Terms: Payments are due within 20</w:t>
      </w:r>
      <w:r w:rsidR="00627956">
        <w:rPr>
          <w:b/>
          <w:bCs/>
          <w:sz w:val="18"/>
          <w:szCs w:val="18"/>
        </w:rPr>
        <w:t xml:space="preserve"> business</w:t>
      </w:r>
      <w:r>
        <w:rPr>
          <w:b/>
          <w:bCs/>
          <w:sz w:val="18"/>
          <w:szCs w:val="18"/>
        </w:rPr>
        <w:t xml:space="preserve"> days of the bill date. </w:t>
      </w:r>
      <w:r>
        <w:rPr>
          <w:sz w:val="18"/>
          <w:szCs w:val="18"/>
        </w:rPr>
        <w:t xml:space="preserve">Failure to receive a bill does not exempt penalties or disconnection for non-payment. We are not responsible for late remittances made through the mail service.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Late Penalty: </w:t>
      </w:r>
      <w:r>
        <w:rPr>
          <w:sz w:val="18"/>
          <w:szCs w:val="18"/>
        </w:rPr>
        <w:t>A late penalty of 10%</w:t>
      </w:r>
      <w:r w:rsidR="00627956">
        <w:rPr>
          <w:sz w:val="18"/>
          <w:szCs w:val="18"/>
        </w:rPr>
        <w:t xml:space="preserve"> of billed amount</w:t>
      </w:r>
      <w:r>
        <w:rPr>
          <w:sz w:val="18"/>
          <w:szCs w:val="18"/>
        </w:rPr>
        <w:t xml:space="preserve"> will be added to your current bill amount, if bill is not paid by </w:t>
      </w:r>
      <w:r w:rsidR="00627956">
        <w:rPr>
          <w:sz w:val="18"/>
          <w:szCs w:val="18"/>
        </w:rPr>
        <w:t>9:00 a.m.</w:t>
      </w:r>
      <w:r>
        <w:rPr>
          <w:sz w:val="18"/>
          <w:szCs w:val="18"/>
        </w:rPr>
        <w:t xml:space="preserve"> on the </w:t>
      </w:r>
      <w:r w:rsidR="00627956">
        <w:rPr>
          <w:sz w:val="18"/>
          <w:szCs w:val="18"/>
        </w:rPr>
        <w:t>5th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day following the due date.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Disconnect Policy: </w:t>
      </w:r>
      <w:r w:rsidR="004C77A8">
        <w:rPr>
          <w:b/>
          <w:bCs/>
          <w:sz w:val="18"/>
          <w:szCs w:val="18"/>
        </w:rPr>
        <w:t xml:space="preserve"> </w:t>
      </w:r>
      <w:r w:rsidR="004C77A8" w:rsidRPr="004C77A8">
        <w:rPr>
          <w:bCs/>
          <w:sz w:val="18"/>
          <w:szCs w:val="18"/>
        </w:rPr>
        <w:t>A $15.00 reconnection fee will be assessed to all accounts turned off for delinquency.</w:t>
      </w:r>
      <w:r w:rsidR="004C77A8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Service will be reconnected after the delinquent balance and fees are paid in full.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Returned Payments: </w:t>
      </w:r>
      <w:r>
        <w:rPr>
          <w:sz w:val="18"/>
          <w:szCs w:val="18"/>
        </w:rPr>
        <w:t>Returned payments will be charged a $</w:t>
      </w:r>
      <w:r w:rsidR="00627956">
        <w:rPr>
          <w:sz w:val="18"/>
          <w:szCs w:val="18"/>
        </w:rPr>
        <w:t>25</w:t>
      </w:r>
      <w:r>
        <w:rPr>
          <w:sz w:val="18"/>
          <w:szCs w:val="18"/>
        </w:rPr>
        <w:t xml:space="preserve">.00 fee. Unpaid returned payments will be subject to disconnection. Checks will no longer be accepted on accounts </w:t>
      </w:r>
      <w:r w:rsidR="00627956">
        <w:rPr>
          <w:sz w:val="18"/>
          <w:szCs w:val="18"/>
        </w:rPr>
        <w:t xml:space="preserve">after first returned </w:t>
      </w:r>
      <w:r w:rsidR="004C77A8">
        <w:rPr>
          <w:sz w:val="18"/>
          <w:szCs w:val="18"/>
        </w:rPr>
        <w:t xml:space="preserve">check </w:t>
      </w:r>
      <w:r w:rsidR="00627956">
        <w:rPr>
          <w:sz w:val="18"/>
          <w:szCs w:val="18"/>
        </w:rPr>
        <w:t>payment</w:t>
      </w:r>
      <w:r>
        <w:rPr>
          <w:sz w:val="18"/>
          <w:szCs w:val="18"/>
        </w:rPr>
        <w:t xml:space="preserve">. Payments will be required in the form of cash, money order, or debit/credit cards.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Terminate Service: </w:t>
      </w:r>
      <w:r>
        <w:rPr>
          <w:sz w:val="18"/>
          <w:szCs w:val="18"/>
        </w:rPr>
        <w:t>Only an accountholder listed on an account can terminate service. Verification of personal identifying information will be required. Service will be disconnected the next working day or at a later specified date, ex</w:t>
      </w:r>
      <w:r w:rsidR="00D67938">
        <w:rPr>
          <w:sz w:val="18"/>
          <w:szCs w:val="18"/>
        </w:rPr>
        <w:t xml:space="preserve">cluding weekends and holidays.  </w:t>
      </w:r>
      <w:r>
        <w:rPr>
          <w:sz w:val="18"/>
          <w:szCs w:val="18"/>
        </w:rPr>
        <w:t>A final reading will be taken on requested termination date and a final bill or deposit refund check will be mailed to t</w:t>
      </w:r>
      <w:r w:rsidR="00627956">
        <w:rPr>
          <w:sz w:val="18"/>
          <w:szCs w:val="18"/>
        </w:rPr>
        <w:t>he forwarding address provided within 3 to 4 weeks.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Reinstated Service: </w:t>
      </w:r>
      <w:r>
        <w:rPr>
          <w:sz w:val="18"/>
          <w:szCs w:val="18"/>
        </w:rPr>
        <w:t xml:space="preserve">Accounts with outstanding balances will be required to pay the entire balance before new service can be established; along with any deposits required and/or service fees.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Tampering Policy: </w:t>
      </w:r>
      <w:r>
        <w:rPr>
          <w:sz w:val="18"/>
          <w:szCs w:val="18"/>
        </w:rPr>
        <w:t xml:space="preserve">In the event a meter or service equipment has been tampered with or unauthorized usage has occurred, service will be disconnected immediately. A Tampering Fee </w:t>
      </w:r>
      <w:r w:rsidR="00D67938">
        <w:rPr>
          <w:sz w:val="18"/>
          <w:szCs w:val="18"/>
        </w:rPr>
        <w:t>of $250.00</w:t>
      </w:r>
      <w:r>
        <w:rPr>
          <w:sz w:val="18"/>
          <w:szCs w:val="18"/>
        </w:rPr>
        <w:t xml:space="preserve"> will be due before service can be restored.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Additional Fees/Service Fee: 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Locking Meter/Broken </w:t>
      </w:r>
      <w:r w:rsidR="003F245F">
        <w:rPr>
          <w:sz w:val="18"/>
          <w:szCs w:val="18"/>
        </w:rPr>
        <w:t>Angle Meter Stop (fees include any parts and labor of up to $500.00)</w:t>
      </w:r>
      <w:r>
        <w:rPr>
          <w:sz w:val="18"/>
          <w:szCs w:val="18"/>
        </w:rPr>
        <w:t xml:space="preserve"> 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Meter Removal/Change-out </w:t>
      </w:r>
      <w:r w:rsidR="003F245F">
        <w:rPr>
          <w:sz w:val="18"/>
          <w:szCs w:val="18"/>
        </w:rPr>
        <w:t>fees are between $250.00 to $500.00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Water Leaks Policy: </w:t>
      </w:r>
      <w:r>
        <w:rPr>
          <w:sz w:val="18"/>
          <w:szCs w:val="18"/>
        </w:rPr>
        <w:t xml:space="preserve">If a water leak is found on the customer’s side of the meter, it is the customer’s responsibility to have the leak repaired immediately. The City of </w:t>
      </w:r>
      <w:r w:rsidR="00D67938">
        <w:rPr>
          <w:sz w:val="18"/>
          <w:szCs w:val="18"/>
        </w:rPr>
        <w:t xml:space="preserve">Crystal City </w:t>
      </w:r>
      <w:r>
        <w:rPr>
          <w:sz w:val="18"/>
          <w:szCs w:val="18"/>
        </w:rPr>
        <w:t xml:space="preserve">has the right to turn the water off until the customer can have the leak repaired. Water should be turned off when not is use until repair is complete. A leak adjustment </w:t>
      </w:r>
      <w:r>
        <w:rPr>
          <w:i/>
          <w:iCs/>
          <w:sz w:val="18"/>
          <w:szCs w:val="18"/>
        </w:rPr>
        <w:t xml:space="preserve">may be granted after </w:t>
      </w:r>
      <w:r>
        <w:rPr>
          <w:sz w:val="18"/>
          <w:szCs w:val="18"/>
        </w:rPr>
        <w:t xml:space="preserve">evidence and confirmation of repairs are made. </w:t>
      </w:r>
    </w:p>
    <w:p w:rsidR="00D67938" w:rsidRDefault="00D67938" w:rsidP="00F260C5">
      <w:pPr>
        <w:pStyle w:val="Default"/>
        <w:rPr>
          <w:b/>
          <w:bCs/>
          <w:sz w:val="18"/>
          <w:szCs w:val="18"/>
        </w:rPr>
      </w:pP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Payment Options: 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ACH Bank Draft 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Mail to address listed on bill 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Office Drop Box 24/7 (</w:t>
      </w:r>
      <w:r w:rsidR="003F245F">
        <w:rPr>
          <w:sz w:val="18"/>
          <w:szCs w:val="18"/>
        </w:rPr>
        <w:t>NO CASH</w:t>
      </w:r>
      <w:r>
        <w:rPr>
          <w:sz w:val="18"/>
          <w:szCs w:val="18"/>
        </w:rPr>
        <w:t xml:space="preserve">) </w:t>
      </w:r>
      <w:r w:rsidR="00D469E7">
        <w:rPr>
          <w:sz w:val="18"/>
          <w:szCs w:val="18"/>
        </w:rPr>
        <w:t xml:space="preserve">   </w:t>
      </w:r>
    </w:p>
    <w:p w:rsidR="00F260C5" w:rsidRDefault="00F260C5" w:rsidP="00F26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In-person at our office during regular business hours </w:t>
      </w:r>
    </w:p>
    <w:p w:rsidR="00D469E7" w:rsidRDefault="00D469E7" w:rsidP="00D469E7">
      <w:pPr>
        <w:pStyle w:val="Default"/>
        <w:rPr>
          <w:sz w:val="18"/>
          <w:szCs w:val="18"/>
        </w:rPr>
      </w:pPr>
    </w:p>
    <w:p w:rsidR="00D469E7" w:rsidRDefault="00D469E7" w:rsidP="00D469E7">
      <w:pPr>
        <w:pStyle w:val="Default"/>
        <w:rPr>
          <w:b/>
          <w:sz w:val="18"/>
          <w:szCs w:val="18"/>
        </w:rPr>
      </w:pPr>
    </w:p>
    <w:p w:rsidR="00D67938" w:rsidRPr="00D469E7" w:rsidRDefault="00D469E7" w:rsidP="00D469E7">
      <w:pPr>
        <w:pStyle w:val="Default"/>
        <w:rPr>
          <w:sz w:val="22"/>
          <w:szCs w:val="22"/>
        </w:rPr>
      </w:pPr>
      <w:r w:rsidRPr="00D469E7">
        <w:rPr>
          <w:b/>
          <w:sz w:val="22"/>
          <w:szCs w:val="22"/>
        </w:rPr>
        <w:t>Signature: ______</w:t>
      </w:r>
      <w:r>
        <w:rPr>
          <w:b/>
          <w:sz w:val="22"/>
          <w:szCs w:val="22"/>
        </w:rPr>
        <w:t>______________________</w:t>
      </w:r>
      <w:r w:rsidRPr="00D469E7">
        <w:rPr>
          <w:b/>
          <w:sz w:val="22"/>
          <w:szCs w:val="22"/>
        </w:rPr>
        <w:t>______</w:t>
      </w:r>
      <w:r w:rsidRPr="00D469E7">
        <w:rPr>
          <w:b/>
          <w:sz w:val="22"/>
          <w:szCs w:val="22"/>
        </w:rPr>
        <w:t xml:space="preserve">           Date:</w:t>
      </w:r>
      <w:r>
        <w:rPr>
          <w:b/>
          <w:sz w:val="22"/>
          <w:szCs w:val="22"/>
        </w:rPr>
        <w:t xml:space="preserve"> __________________________</w:t>
      </w:r>
      <w:r w:rsidRPr="00D469E7">
        <w:rPr>
          <w:b/>
          <w:sz w:val="22"/>
          <w:szCs w:val="22"/>
        </w:rPr>
        <w:t>_____</w:t>
      </w:r>
    </w:p>
    <w:p w:rsidR="00D469E7" w:rsidRDefault="00D469E7" w:rsidP="00D67938">
      <w:pPr>
        <w:pStyle w:val="Default"/>
        <w:jc w:val="center"/>
        <w:rPr>
          <w:sz w:val="22"/>
          <w:szCs w:val="22"/>
        </w:rPr>
      </w:pPr>
    </w:p>
    <w:p w:rsidR="00D67938" w:rsidRDefault="00D67938" w:rsidP="00D6793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Mailing Address: 101 E. Dimmit Street, Crystal City, Texas 78839</w:t>
      </w:r>
    </w:p>
    <w:p w:rsidR="00D67938" w:rsidRDefault="00D67938" w:rsidP="00D6793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Phone: (830) 374-3477 / Fax: (830) 374-2123</w:t>
      </w:r>
    </w:p>
    <w:p w:rsidR="00D67938" w:rsidRDefault="00D67938" w:rsidP="00F260C5">
      <w:pPr>
        <w:rPr>
          <w:sz w:val="18"/>
          <w:szCs w:val="18"/>
        </w:rPr>
      </w:pPr>
    </w:p>
    <w:sectPr w:rsidR="00D67938" w:rsidSect="00D469E7">
      <w:pgSz w:w="12240" w:h="15840"/>
      <w:pgMar w:top="475" w:right="864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C5"/>
    <w:rsid w:val="00194053"/>
    <w:rsid w:val="00256243"/>
    <w:rsid w:val="002B1A28"/>
    <w:rsid w:val="00391EA2"/>
    <w:rsid w:val="003F245F"/>
    <w:rsid w:val="004C77A8"/>
    <w:rsid w:val="00627956"/>
    <w:rsid w:val="006C65A6"/>
    <w:rsid w:val="007A1ECA"/>
    <w:rsid w:val="00D068E6"/>
    <w:rsid w:val="00D469E7"/>
    <w:rsid w:val="00D55F98"/>
    <w:rsid w:val="00D67938"/>
    <w:rsid w:val="00F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0477"/>
  <w15:chartTrackingRefBased/>
  <w15:docId w15:val="{CF6BB512-5729-44E5-8021-B1EC76B9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0C5"/>
    <w:pPr>
      <w:autoSpaceDE w:val="0"/>
      <w:autoSpaceDN w:val="0"/>
      <w:adjustRightInd w:val="0"/>
      <w:spacing w:after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Zavala</dc:creator>
  <cp:keywords/>
  <dc:description/>
  <cp:lastModifiedBy>Sandra Zavala</cp:lastModifiedBy>
  <cp:revision>2</cp:revision>
  <cp:lastPrinted>2018-09-24T19:00:00Z</cp:lastPrinted>
  <dcterms:created xsi:type="dcterms:W3CDTF">2018-09-24T19:21:00Z</dcterms:created>
  <dcterms:modified xsi:type="dcterms:W3CDTF">2018-09-24T19:21:00Z</dcterms:modified>
</cp:coreProperties>
</file>